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 三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9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29 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5"/>
        <w:tblW w:w="11482" w:type="dxa"/>
        <w:tblInd w:w="-1593" w:type="dxa"/>
        <w:tblLook w:firstRow="0" w:lastRow="0" w:firstColumn="0" w:lastColumn="0" w:noHBand="0" w:noVBand="0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语文园地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熟练掌握理解词语的方法。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积累描写春夏秋冬的词语。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语文园地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熟练掌握理解词语的方法。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积累描写春夏秋冬的词语。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语文园地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熟练掌握理解词语的方法。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积累描写春夏秋冬的词语。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语文园地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熟练掌握理解词语的方法。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积累描写春夏秋冬的词语。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语文园地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熟练掌握理解词语的方法。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积累描写春夏秋冬的词语。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</w:t>
            </w:r>
            <w:r>
              <w:rPr>
                <w:rFonts w:hint="eastAsia"/>
              </w:rP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</w:t>
            </w:r>
            <w:r>
              <w:rPr>
                <w:rFonts w:hint="eastAsia"/>
              </w:rP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</w:t>
            </w:r>
            <w:r>
              <w:rPr>
                <w:rFonts w:hint="eastAsia"/>
              </w:rP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</w:t>
            </w:r>
            <w:r>
              <w:rPr>
                <w:rFonts w:hint="eastAsia"/>
              </w:rP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</w:t>
            </w:r>
            <w:r>
              <w:rPr>
                <w:rFonts w:hint="eastAsia"/>
              </w:rPr>
              <w:t xml:space="preserve">5分钟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一位数与三位数相乘 2 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1、《和》P17；</w:t>
            </w:r>
          </w:p>
          <w:p>
            <w:r>
              <w:rPr>
                <w:rFonts w:hint="eastAsia"/>
              </w:rPr>
              <w:t xml:space="preserve">2、预习《书》P23、24。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一位数与三位数相乘 2 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1、《和》P17；</w:t>
            </w:r>
          </w:p>
          <w:p>
            <w:r>
              <w:rPr>
                <w:rFonts w:hint="eastAsia"/>
              </w:rPr>
              <w:t xml:space="preserve">2、预习《书》P23、24。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一位数与三位数相乘 2 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1、《和》P17；</w:t>
            </w:r>
          </w:p>
          <w:p>
            <w:r>
              <w:rPr>
                <w:rFonts w:hint="eastAsia"/>
              </w:rPr>
              <w:t xml:space="preserve">2、预习《书》P23、24。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一位数与三位数相乘 2 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1、《和》P17；</w:t>
            </w:r>
          </w:p>
          <w:p>
            <w:r>
              <w:rPr>
                <w:rFonts w:hint="eastAsia"/>
              </w:rPr>
              <w:t xml:space="preserve">2、预习《书》P23、24。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一位数与三位数相乘 2 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1、《和》P17；</w:t>
            </w:r>
          </w:p>
          <w:p>
            <w:r>
              <w:rPr>
                <w:rFonts w:hint="eastAsia"/>
              </w:rPr>
              <w:t xml:space="preserve">2、预习《书》P23、24。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</w:t>
            </w:r>
            <w:r>
              <w:rPr>
                <w:rFonts w:hint="eastAsia"/>
              </w:rP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</w:t>
            </w:r>
            <w:r>
              <w:rPr>
                <w:rFonts w:hint="eastAsia"/>
              </w:rP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</w:t>
            </w:r>
            <w:r>
              <w:rPr>
                <w:rFonts w:hint="eastAsia"/>
              </w:rP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</w:t>
            </w:r>
            <w:r>
              <w:rPr>
                <w:rFonts w:hint="eastAsia"/>
              </w:rP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</w:t>
            </w:r>
            <w:r>
              <w:rPr>
                <w:rFonts w:hint="eastAsia"/>
              </w:rPr>
              <w:t xml:space="preserve">5分钟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M2U1P3</w:t>
            </w:r>
            <w:r>
              <w:t xml:space="preserve">）</w:t>
            </w:r>
          </w:p>
          <w:p>
            <w:pPr>
              <w:numPr>
                <w:ilvl w:val="0"/>
                <w:numId w:val="2"/>
              </w:numPr>
            </w:pPr>
            <w:r>
              <w:t xml:space="preserve">读课文</w:t>
            </w:r>
          </w:p>
          <w:p>
            <w:pPr>
              <w:numPr>
                <w:ilvl w:val="0"/>
                <w:numId w:val="2"/>
              </w:numPr>
            </w:pPr>
            <w:r>
              <w:t xml:space="preserve">绿色</w:t>
            </w:r>
          </w:p>
        </w:tc>
        <w:tc>
          <w:tcPr>
            <w:tcW w:w="2098" w:type="dxa"/>
          </w:tcPr>
          <w:p>
            <w:r>
              <w:t xml:space="preserve">课题（M2U1P3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读课文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绿色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M2U1P3</w:t>
            </w:r>
            <w:r>
              <w:t xml:space="preserve">）</w:t>
            </w:r>
          </w:p>
          <w:p>
            <w:pPr>
              <w:numPr>
                <w:ilvl w:val="0"/>
                <w:numId w:val="4"/>
              </w:numPr>
            </w:pPr>
            <w:r>
              <w:t xml:space="preserve">读课文</w:t>
            </w:r>
          </w:p>
          <w:p>
            <w:pPr>
              <w:numPr>
                <w:ilvl w:val="0"/>
                <w:numId w:val="4"/>
              </w:numPr>
            </w:pPr>
            <w:r>
              <w:t xml:space="preserve">绿色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M2U1P3</w:t>
            </w:r>
            <w:r>
              <w:t xml:space="preserve">）</w:t>
            </w:r>
          </w:p>
          <w:p>
            <w:pPr>
              <w:numPr>
                <w:ilvl w:val="0"/>
                <w:numId w:val="5"/>
              </w:numPr>
            </w:pPr>
            <w:r>
              <w:t xml:space="preserve">读课文</w:t>
            </w:r>
          </w:p>
          <w:p>
            <w:pPr>
              <w:numPr>
                <w:ilvl w:val="0"/>
                <w:numId w:val="5"/>
              </w:numPr>
            </w:pPr>
            <w:r>
              <w:t xml:space="preserve">绿色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M2U1P3 </w:t>
            </w:r>
            <w:r>
              <w:t xml:space="preserve">）</w:t>
            </w:r>
          </w:p>
          <w:p>
            <w:pPr>
              <w:numPr>
                <w:ilvl w:val="0"/>
                <w:numId w:val="6"/>
              </w:numPr>
            </w:pPr>
            <w:r>
              <w:t xml:space="preserve">读课文</w:t>
            </w:r>
          </w:p>
          <w:p>
            <w:pPr>
              <w:numPr>
                <w:ilvl w:val="0"/>
                <w:numId w:val="6"/>
              </w:numPr>
            </w:pPr>
            <w:r>
              <w:t xml:space="preserve">绿色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  <w:r>
              <w:rPr>
                <w:rFonts w:hint="eastAsia"/>
              </w:rP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  <w:r>
              <w:rPr>
                <w:rFonts w:hint="eastAsia"/>
              </w:rP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  <w:r>
              <w:rPr>
                <w:rFonts w:hint="eastAsia"/>
              </w:rP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  <w:r>
              <w:rPr>
                <w:rFonts w:hint="eastAsia"/>
              </w:rP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</w:t>
            </w:r>
            <w:r>
              <w:rPr>
                <w:rFonts w:hint="eastAsia"/>
              </w:rPr>
              <w:t xml:space="preserve">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4</w:t>
            </w:r>
            <w:r>
              <w:t xml:space="preserve">0</w:t>
            </w:r>
            <w:r>
              <w:rPr>
                <w:rFonts w:hint="eastAsia"/>
              </w:rP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4</w:t>
            </w:r>
            <w:r>
              <w:t xml:space="preserve">0</w:t>
            </w:r>
            <w:r>
              <w:rPr>
                <w:rFonts w:hint="eastAsia"/>
              </w:rP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4</w:t>
            </w:r>
            <w:r>
              <w:t xml:space="preserve">0</w:t>
            </w:r>
            <w:r>
              <w:rPr>
                <w:rFonts w:hint="eastAsia"/>
              </w:rP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4</w:t>
            </w:r>
            <w:r>
              <w:t xml:space="preserve">0</w:t>
            </w:r>
            <w:r>
              <w:rPr>
                <w:rFonts w:hint="eastAsia"/>
              </w:rP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4</w:t>
            </w:r>
            <w:r>
              <w:t xml:space="preserve">0</w:t>
            </w:r>
            <w:r>
              <w:rPr>
                <w:rFonts w:hint="eastAsia"/>
              </w:rPr>
              <w:t xml:space="preserve">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r>
              <w:t xml:space="preserve">波比跳 15个一组</w:t>
            </w:r>
          </w:p>
        </w:tc>
        <w:tc>
          <w:tcPr>
            <w:tcW w:w="2098" w:type="dxa"/>
            <w:vAlign w:val="center"/>
          </w:tcPr>
          <w:p>
            <w:r>
              <w:t xml:space="preserve">波比跳 15个一组</w:t>
            </w:r>
          </w:p>
        </w:tc>
        <w:tc>
          <w:tcPr>
            <w:tcW w:w="2098" w:type="dxa"/>
            <w:vAlign w:val="center"/>
          </w:tcPr>
          <w:p>
            <w:r>
              <w:t xml:space="preserve">波比跳 15个一组</w:t>
            </w:r>
          </w:p>
        </w:tc>
        <w:tc>
          <w:tcPr>
            <w:tcW w:w="2098" w:type="dxa"/>
            <w:vAlign w:val="center"/>
          </w:tcPr>
          <w:p>
            <w:r>
              <w:t xml:space="preserve">波比跳 15个一组</w:t>
            </w:r>
          </w:p>
        </w:tc>
        <w:tc>
          <w:tcPr>
            <w:tcW w:w="2098" w:type="dxa"/>
            <w:vAlign w:val="center"/>
          </w:tcPr>
          <w:p>
            <w:r>
              <w:t xml:space="preserve">波比跳 15个一组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4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5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3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  <w:num w:numId="6">
    <w:abstractNumId w:val="5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character" w:default="0" w:styleId="a6">
    <w:name w:val="页脚 字符"/>
    <w:basedOn w:val="a0"/>
    <w:tcPr/>
    <w:rPr>
      <w:sz w:val="18"/>
    </w:rPr>
  </w:style>
  <w:style w:type="character" w:default="0" w:styleId="a7">
    <w:name w:val="页眉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