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7）日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：第三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，《赵州桥》第三自然段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：第三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，《赵州桥》第三自然段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：第三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，《赵州桥》第三自然段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：第三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，《赵州桥》第三自然段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：第三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.背诵古诗</w:t>
            </w:r>
            <w:r>
              <w:rPr>
                <w:rFonts w:hint="eastAsia"/>
              </w:rPr>
              <w:t xml:space="preserve">，《赵州桥》第三自然段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三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练习册95页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计算5道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练习册95页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计算5道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练习册95页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计算5道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练习册95页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计算5道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练习册95页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计算5道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1、完成报14</w:t>
            </w:r>
          </w:p>
          <w:p>
            <w:pPr/>
            <w:r>
              <w:t xml:space="preserve">2、M1课文读一遍</w:t>
            </w:r>
          </w:p>
        </w:tc>
        <w:tc>
          <w:tcPr>
            <w:tcW w:w="2098" w:type="dxa"/>
          </w:tcPr>
          <w:p>
            <w:pPr/>
            <w:r>
              <w:t xml:space="preserve">1、完成报14</w:t>
            </w:r>
          </w:p>
          <w:p>
            <w:pPr/>
            <w:r>
              <w:t xml:space="preserve">2、M1课文读一遍</w:t>
            </w:r>
          </w:p>
        </w:tc>
        <w:tc>
          <w:tcPr>
            <w:tcW w:w="2098" w:type="dxa"/>
          </w:tcPr>
          <w:p>
            <w:pPr/>
            <w:r>
              <w:t xml:space="preserve">1、完成报14</w:t>
            </w:r>
          </w:p>
          <w:p>
            <w:pPr/>
            <w:r>
              <w:t xml:space="preserve">2、M1课文读一遍</w:t>
            </w:r>
          </w:p>
        </w:tc>
        <w:tc>
          <w:tcPr>
            <w:tcW w:w="2098" w:type="dxa"/>
          </w:tcPr>
          <w:p>
            <w:pPr/>
            <w:r>
              <w:t xml:space="preserve">1、完成报14</w:t>
            </w:r>
          </w:p>
          <w:p>
            <w:pPr/>
            <w:r>
              <w:t xml:space="preserve">2、M1课文读一遍</w:t>
            </w:r>
          </w:p>
        </w:tc>
        <w:tc>
          <w:tcPr>
            <w:tcW w:w="2098" w:type="dxa"/>
          </w:tcPr>
          <w:p>
            <w:pPr/>
            <w:r>
              <w:t xml:space="preserve">1、完成报14</w:t>
            </w:r>
          </w:p>
          <w:p>
            <w:pPr/>
            <w:r>
              <w:t xml:space="preserve">2、M1课文读一遍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