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23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第二单元复习 </w:t>
            </w:r>
            <w:r>
              <w:t xml:space="preserve">）1、上传单元作业二；（课上基本完成）  </w:t>
              <w:br w:type="textWrapping"/>
              <w:t xml:space="preserve">2、上传看拼音写词语二；（课上基本完成）</w:t>
              <w:br w:type="textWrapping"/>
              <w:t xml:space="preserve">3、背出27页日积月累的三句话。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课题（第二单元复习</w:t>
            </w:r>
            <w:r>
              <w:rPr>
                <w:rFonts w:hint="eastAsia"/>
              </w:rPr>
              <w:t xml:space="preserve"> </w:t>
            </w:r>
            <w:r>
              <w:t xml:space="preserve">）1、上传单元作业二；（课上基本完成）  </w:t>
              <w:br w:type="textWrapping"/>
              <w:t xml:space="preserve">2、上传看拼音写词语二；（课上基本完成）</w:t>
              <w:br w:type="textWrapping"/>
              <w:t xml:space="preserve">3、背出27页日积月累的三句话。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课题（第二单元复习）1、上传单元作业二；（课上基本完成）  </w:t>
              <w:br w:type="textWrapping"/>
              <w:t xml:space="preserve">2、上传看拼音写词语二；（课上基本完成）</w:t>
              <w:br w:type="textWrapping"/>
              <w:t xml:space="preserve">3、背出27页日积月累的三句话。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第二单元复习</w:t>
            </w:r>
            <w:r>
              <w:t xml:space="preserve">）</w:t>
              <w:br w:type="textWrapping"/>
              <w:t xml:space="preserve">1、上传单元作业二；（课上基本完成）  </w:t>
              <w:br w:type="textWrapping"/>
              <w:t xml:space="preserve">2、上传看拼音写词语二；（课上基本完成）</w:t>
              <w:br w:type="textWrapping"/>
              <w:t xml:space="preserve">3、背出27页日积月累的三句话。</w:t>
              <w:br w:type="textWrapping"/>
            </w:r>
          </w:p>
        </w:tc>
        <w:tc>
          <w:tcPr>
            <w:tcW w:w="2098" w:type="dxa"/>
          </w:tcPr>
          <w:p>
            <w:r>
              <w:t xml:space="preserve">课题（第二单元复习</w:t>
            </w:r>
            <w:r>
              <w:rPr>
                <w:rFonts w:hint="eastAsia"/>
              </w:rPr>
              <w:t xml:space="preserve"> ）</w:t>
            </w:r>
            <w:r>
              <w:br w:type="textWrapping"/>
            </w:r>
            <w:r>
              <w:t xml:space="preserve">1、上传单元作业二；（课上基本完成）  </w:t>
              <w:br w:type="textWrapping"/>
              <w:t xml:space="preserve">2、上传看拼音写词语二；（课上基本完成）</w:t>
              <w:br w:type="textWrapping"/>
              <w:t xml:space="preserve">3、背出27页日积月累的三句话。</w:t>
              <w:br w:type="textWrapping"/>
            </w:r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课题（解决问题1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1、上传数学练习册P78.79.80，课堂基本完成；</w:t>
            </w:r>
          </w:p>
          <w:p>
            <w:r>
              <w:t xml:space="preserve">2、尝试理解并分析应用题中的条件，问题和关系式。</w:t>
            </w:r>
          </w:p>
          <w:p>
            <w:r>
              <w:t xml:space="preserve">3、自主完成口算练习。</w:t>
            </w:r>
          </w:p>
        </w:tc>
        <w:tc>
          <w:tcPr>
            <w:tcW w:w="2098" w:type="dxa"/>
          </w:tcPr>
          <w:p>
            <w:r>
              <w:t xml:space="preserve">课题（解决问题1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1、上传数学练习册P78.79.80，课堂基本完成；</w:t>
            </w:r>
          </w:p>
          <w:p>
            <w:r>
              <w:t xml:space="preserve">2、尝试理解并分析应用题中的条件，问题和关系式。</w:t>
            </w:r>
          </w:p>
          <w:p>
            <w:r>
              <w:t xml:space="preserve">3、自主完成口算练习。</w:t>
            </w:r>
          </w:p>
        </w:tc>
        <w:tc>
          <w:tcPr>
            <w:tcW w:w="2098" w:type="dxa"/>
          </w:tcPr>
          <w:p>
            <w:r>
              <w:t xml:space="preserve">课题（解决问题1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1、上传数学练习册P78.79.80，课堂基本完成；</w:t>
            </w:r>
          </w:p>
          <w:p>
            <w:r>
              <w:t xml:space="preserve">2、尝试理解并分析应用题中的条件，问题和关系式。</w:t>
            </w:r>
          </w:p>
          <w:p>
            <w:r>
              <w:t xml:space="preserve">3、自主完成口算练习。</w:t>
            </w:r>
          </w:p>
        </w:tc>
        <w:tc>
          <w:tcPr>
            <w:tcW w:w="2098" w:type="dxa"/>
          </w:tcPr>
          <w:p>
            <w:r>
              <w:t xml:space="preserve">课题（解决问题1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1、上传数学练习册P78.79.80，课堂基本完成；</w:t>
            </w:r>
          </w:p>
          <w:p>
            <w:r>
              <w:t xml:space="preserve">2、尝试理解并分析应用题中的条件，问题和关系式。</w:t>
            </w:r>
          </w:p>
          <w:p>
            <w:r>
              <w:t xml:space="preserve">3、自主完成口算练习。</w:t>
            </w:r>
          </w:p>
        </w:tc>
        <w:tc>
          <w:tcPr>
            <w:tcW w:w="2098" w:type="dxa"/>
          </w:tcPr>
          <w:p>
            <w:r>
              <w:t xml:space="preserve">课题（解决问题1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r>
              <w:t xml:space="preserve">1、上传数学练习册P78.79.80，课堂基本完成；</w:t>
            </w:r>
          </w:p>
          <w:p>
            <w:r>
              <w:t xml:space="preserve">2、尝试理解并分析应用题中的条件，问题和关系式。</w:t>
            </w:r>
          </w:p>
          <w:p>
            <w:r>
              <w:t xml:space="preserve">3、自主完成口算练习。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朗读书本42页，背单词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预习书本43-45页。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朗读书本42页，背单词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预习书本43-45页。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朗读书本42页，背单词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预习书本43-45页。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朗读书本42页，背单词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预习书本43-45页。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M4U2 Mother's Day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朗读书本42页，背单词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rPr>
                <w:sz w:val="24"/>
                <w:rFonts w:ascii="PingFangSC-Regular" w:hAnsi="PingFangSC-Regular" w:cs="PingFangSC-Regular" w:eastAsia="PingFangSC-Regular"/>
                <w:color w:val="191F25"/>
              </w:rPr>
              <w:t xml:space="preserve">预习书本43-45页。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24分钟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