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19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课题（第一单元</w:t>
            </w:r>
            <w:r>
              <w:rPr>
                <w:rFonts w:hint="eastAsia"/>
              </w:rPr>
              <w:t xml:space="preserve"> 复习1 </w:t>
            </w:r>
            <w:r>
              <w:t xml:space="preserve">）</w:t>
            </w:r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1.完成第一单元达标卷，上传。没有打印的同学只要写题号和答案。 2.看图片，默写。（默写本上）上传。 3.背诵古诗二首。视频上传。</w:t>
            </w:r>
          </w:p>
        </w:tc>
        <w:tc>
          <w:tcPr>
            <w:tcW w:w="2098" w:type="dxa"/>
          </w:tcPr>
          <w:p>
            <w:r>
              <w:t xml:space="preserve">课题（第一单元复习1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1.完成第一单元达标卷，上传。没有打印的同学只要写题号和答案。 2.看图片，默写。（默写本上）上传。 3.背诵古诗二首。视频上传。</w:t>
            </w:r>
          </w:p>
        </w:tc>
        <w:tc>
          <w:tcPr>
            <w:tcW w:w="2098" w:type="dxa"/>
          </w:tcPr>
          <w:p>
            <w:r>
              <w:t xml:space="preserve">课题（第一单元复习1）</w:t>
            </w:r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1.完成第一单元达标卷，上传。没有打印的同学只要写题号和答案。 2.看图片，默写。（默写本上）上传。 3.背诵古诗二首。视频上传。</w:t>
            </w:r>
          </w:p>
        </w:tc>
        <w:tc>
          <w:tcPr>
            <w:tcW w:w="2098" w:type="dxa"/>
          </w:tcPr>
          <w:p>
            <w:r>
              <w:t xml:space="preserve">课题（第一单元复习1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1.完成第一单元达标卷，上传。没有打印的同学只要写题号和答案。 2.看图片，默写。（默写本上）上传。 3.背诵古诗二首。视频上传。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第一单元复习1</w:t>
            </w:r>
            <w:r>
              <w:rPr>
                <w:rFonts w:hint="eastAsia"/>
              </w:rPr>
              <w:t xml:space="preserve">）</w:t>
            </w:r>
            <w:r>
              <w:br w:type="textWrapping"/>
            </w:r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1.完成第一单元达标卷，上传。没有打印的同学只要写题号和答案。 2.看图片，默写。（默写本上）上传。 3.背诵古诗二首。视频上传。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无）</w:t>
            </w:r>
          </w:p>
        </w:tc>
        <w:tc>
          <w:tcPr>
            <w:tcW w:w="2098" w:type="dxa"/>
          </w:tcPr>
          <w:p>
            <w:pPr/>
            <w:r>
              <w:t xml:space="preserve">课题（无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无）</w:t>
            </w:r>
          </w:p>
        </w:tc>
        <w:tc>
          <w:tcPr>
            <w:tcW w:w="2098" w:type="dxa"/>
          </w:tcPr>
          <w:p>
            <w:pPr/>
            <w:r>
              <w:t xml:space="preserve">课题（无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/>
            <w:r/>
          </w:p>
        </w:tc>
        <w:tc>
          <w:tcPr>
            <w:tcW w:w="2098" w:type="dxa"/>
            <w:vAlign w:val="center"/>
          </w:tcPr>
          <w:p>
            <w:pPr/>
            <w:r/>
          </w:p>
        </w:tc>
        <w:tc>
          <w:tcPr>
            <w:tcW w:w="2098" w:type="dxa"/>
            <w:vAlign w:val="center"/>
          </w:tcPr>
          <w:p>
            <w:pPr/>
            <w:r/>
          </w:p>
        </w:tc>
        <w:tc>
          <w:tcPr>
            <w:tcW w:w="2098" w:type="dxa"/>
            <w:vAlign w:val="center"/>
          </w:tcPr>
          <w:p>
            <w:pPr/>
            <w:r/>
          </w:p>
        </w:tc>
        <w:tc>
          <w:tcPr>
            <w:tcW w:w="2098" w:type="dxa"/>
            <w:vAlign w:val="center"/>
          </w:tcPr>
          <w:p>
            <w:pPr/>
            <w:r/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1、朗读书本39-41页。</w:t>
            </w:r>
          </w:p>
          <w:p>
            <w:pPr/>
            <w:r>
              <w:t xml:space="preserve">2、背诵词组。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1、朗读书本39-41页。</w:t>
            </w:r>
          </w:p>
          <w:p>
            <w:pPr/>
            <w:r>
              <w:t xml:space="preserve">2、背诵词组。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1、朗读书本39-41页。</w:t>
            </w:r>
          </w:p>
          <w:p>
            <w:pPr/>
            <w:r>
              <w:t xml:space="preserve">2、背诵词组。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1、朗读书本39-41页。</w:t>
            </w:r>
          </w:p>
          <w:p>
            <w:pPr/>
            <w:r>
              <w:t xml:space="preserve">2、背诵词组。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2BM4U1 Activities</w:t>
            </w:r>
            <w:r>
              <w:t xml:space="preserve">）</w:t>
            </w:r>
          </w:p>
          <w:p>
            <w:r>
              <w:t xml:space="preserve">1、朗读书本39-41页。</w:t>
            </w:r>
          </w:p>
          <w:p>
            <w:r>
              <w:t xml:space="preserve">2、背诵词语。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37.05" w:h="11905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